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A237" w14:textId="77777777" w:rsidR="00AA03B3" w:rsidRPr="00AA03B3" w:rsidRDefault="00AA03B3" w:rsidP="00AA03B3">
      <w:pPr>
        <w:shd w:val="clear" w:color="auto" w:fill="FFFFFF"/>
        <w:jc w:val="center"/>
        <w:rPr>
          <w:rFonts w:asciiTheme="minorHAnsi" w:eastAsia="Times New Roman" w:hAnsiTheme="minorHAnsi" w:cstheme="minorHAnsi"/>
          <w:szCs w:val="22"/>
        </w:rPr>
      </w:pPr>
      <w:r w:rsidRPr="00AA03B3">
        <w:rPr>
          <w:rFonts w:asciiTheme="minorHAnsi" w:eastAsia="Times New Roman" w:hAnsiTheme="minorHAnsi" w:cstheme="minorHAnsi"/>
          <w:szCs w:val="22"/>
        </w:rPr>
        <w:t> </w:t>
      </w:r>
    </w:p>
    <w:p w14:paraId="1161EDA0" w14:textId="77777777" w:rsidR="00AA03B3" w:rsidRPr="00AA03B3" w:rsidRDefault="00AA03B3" w:rsidP="00AA03B3">
      <w:pPr>
        <w:jc w:val="center"/>
        <w:rPr>
          <w:rFonts w:asciiTheme="minorHAnsi" w:eastAsia="Times New Roman" w:hAnsiTheme="minorHAnsi" w:cstheme="minorHAnsi"/>
          <w:szCs w:val="22"/>
        </w:rPr>
      </w:pPr>
      <w:r w:rsidRPr="00AA03B3">
        <w:rPr>
          <w:rFonts w:asciiTheme="minorHAnsi" w:eastAsia="Times New Roman" w:hAnsiTheme="minorHAnsi" w:cstheme="minorHAnsi"/>
          <w:b/>
          <w:bCs/>
          <w:color w:val="000000"/>
          <w:szCs w:val="22"/>
        </w:rPr>
        <w:t>References</w:t>
      </w:r>
    </w:p>
    <w:p w14:paraId="74E5DE33" w14:textId="77777777" w:rsidR="00AA03B3" w:rsidRPr="00AA03B3" w:rsidRDefault="00AA03B3" w:rsidP="00AA03B3">
      <w:pPr>
        <w:rPr>
          <w:rFonts w:asciiTheme="minorHAnsi" w:eastAsia="Times New Roman" w:hAnsiTheme="minorHAnsi" w:cstheme="minorHAnsi"/>
          <w:szCs w:val="22"/>
        </w:rPr>
      </w:pPr>
    </w:p>
    <w:p w14:paraId="318A4AE1" w14:textId="77777777" w:rsidR="00AA03B3" w:rsidRPr="00AA03B3" w:rsidRDefault="00AA03B3" w:rsidP="00AA03B3">
      <w:pPr>
        <w:ind w:left="720" w:hanging="720"/>
        <w:rPr>
          <w:rFonts w:asciiTheme="minorHAnsi" w:eastAsia="Times New Roman" w:hAnsiTheme="minorHAnsi" w:cstheme="minorHAnsi"/>
          <w:szCs w:val="22"/>
        </w:rPr>
      </w:pPr>
      <w:r w:rsidRPr="00AA03B3">
        <w:rPr>
          <w:rFonts w:asciiTheme="minorHAnsi" w:eastAsia="Times New Roman" w:hAnsiTheme="minorHAnsi" w:cstheme="minorHAnsi"/>
          <w:color w:val="000000"/>
          <w:szCs w:val="22"/>
        </w:rPr>
        <w:t xml:space="preserve">Ladson-Billings, G. (1995). Toward a Theory of Culturally Relevant Pedagogy. </w:t>
      </w:r>
      <w:r w:rsidRPr="00AA03B3">
        <w:rPr>
          <w:rFonts w:asciiTheme="minorHAnsi" w:eastAsia="Times New Roman" w:hAnsiTheme="minorHAnsi" w:cstheme="minorHAnsi"/>
          <w:i/>
          <w:iCs/>
          <w:color w:val="000000"/>
          <w:szCs w:val="22"/>
        </w:rPr>
        <w:t>American Educational Research Journal, 32</w:t>
      </w:r>
      <w:r w:rsidRPr="00AA03B3">
        <w:rPr>
          <w:rFonts w:asciiTheme="minorHAnsi" w:eastAsia="Times New Roman" w:hAnsiTheme="minorHAnsi" w:cstheme="minorHAnsi"/>
          <w:color w:val="000000"/>
          <w:szCs w:val="22"/>
        </w:rPr>
        <w:t xml:space="preserve">(3), 465–491. </w:t>
      </w:r>
      <w:hyperlink r:id="rId6" w:history="1">
        <w:r w:rsidRPr="00AA03B3">
          <w:rPr>
            <w:rFonts w:asciiTheme="minorHAnsi" w:eastAsia="Times New Roman" w:hAnsiTheme="minorHAnsi" w:cstheme="minorHAnsi"/>
            <w:color w:val="1155CC"/>
            <w:szCs w:val="22"/>
            <w:u w:val="single"/>
          </w:rPr>
          <w:t>https://doi.org/10.3102/00028312032003465</w:t>
        </w:r>
      </w:hyperlink>
    </w:p>
    <w:p w14:paraId="2167796D" w14:textId="77777777" w:rsidR="00AA03B3" w:rsidRPr="00AA03B3" w:rsidRDefault="00AA03B3" w:rsidP="00AA03B3">
      <w:pPr>
        <w:ind w:left="720"/>
        <w:rPr>
          <w:rFonts w:asciiTheme="minorHAnsi" w:eastAsia="Times New Roman" w:hAnsiTheme="minorHAnsi" w:cstheme="minorHAnsi"/>
          <w:szCs w:val="22"/>
        </w:rPr>
      </w:pPr>
    </w:p>
    <w:p w14:paraId="19A9FC5A" w14:textId="77777777" w:rsidR="00AA03B3" w:rsidRPr="00AA03B3" w:rsidRDefault="00AA03B3" w:rsidP="00AA03B3">
      <w:pPr>
        <w:ind w:left="720" w:hanging="720"/>
        <w:rPr>
          <w:rFonts w:asciiTheme="minorHAnsi" w:eastAsia="Times New Roman" w:hAnsiTheme="minorHAnsi" w:cstheme="minorHAnsi"/>
          <w:szCs w:val="22"/>
        </w:rPr>
      </w:pPr>
      <w:r w:rsidRPr="00AA03B3">
        <w:rPr>
          <w:rFonts w:asciiTheme="minorHAnsi" w:eastAsia="Times New Roman" w:hAnsiTheme="minorHAnsi" w:cstheme="minorHAnsi"/>
          <w:color w:val="222222"/>
          <w:szCs w:val="22"/>
          <w:shd w:val="clear" w:color="auto" w:fill="FFFFFF"/>
        </w:rPr>
        <w:t xml:space="preserve">Ladson-Billings, G. (1998). “Just what is Critical Race Theory and what’s it doing in a nice field like education?” </w:t>
      </w:r>
      <w:r w:rsidRPr="00AA03B3">
        <w:rPr>
          <w:rFonts w:asciiTheme="minorHAnsi" w:eastAsia="Times New Roman" w:hAnsiTheme="minorHAnsi" w:cstheme="minorHAnsi"/>
          <w:i/>
          <w:iCs/>
          <w:color w:val="222222"/>
          <w:szCs w:val="22"/>
          <w:shd w:val="clear" w:color="auto" w:fill="FFFFFF"/>
        </w:rPr>
        <w:t>International Journal of Qualitative Studies in Education, 11</w:t>
      </w:r>
      <w:r w:rsidRPr="00AA03B3">
        <w:rPr>
          <w:rFonts w:asciiTheme="minorHAnsi" w:eastAsia="Times New Roman" w:hAnsiTheme="minorHAnsi" w:cstheme="minorHAnsi"/>
          <w:color w:val="222222"/>
          <w:szCs w:val="22"/>
          <w:shd w:val="clear" w:color="auto" w:fill="FFFFFF"/>
        </w:rPr>
        <w:t>(1), 7-24.</w:t>
      </w:r>
    </w:p>
    <w:p w14:paraId="2942D38D" w14:textId="77777777" w:rsidR="00AA03B3" w:rsidRPr="00AA03B3" w:rsidRDefault="00AA03B3" w:rsidP="00AA03B3">
      <w:pPr>
        <w:ind w:left="720"/>
        <w:rPr>
          <w:rFonts w:asciiTheme="minorHAnsi" w:eastAsia="Times New Roman" w:hAnsiTheme="minorHAnsi" w:cstheme="minorHAnsi"/>
          <w:szCs w:val="22"/>
        </w:rPr>
      </w:pPr>
    </w:p>
    <w:p w14:paraId="03BA8D50" w14:textId="77777777" w:rsidR="00AA03B3" w:rsidRPr="00AA03B3" w:rsidRDefault="00AA03B3" w:rsidP="00AA03B3">
      <w:pPr>
        <w:ind w:left="720" w:hanging="720"/>
        <w:rPr>
          <w:rFonts w:asciiTheme="minorHAnsi" w:eastAsia="Times New Roman" w:hAnsiTheme="minorHAnsi" w:cstheme="minorHAnsi"/>
          <w:szCs w:val="22"/>
        </w:rPr>
      </w:pPr>
      <w:r w:rsidRPr="00AA03B3">
        <w:rPr>
          <w:rFonts w:asciiTheme="minorHAnsi" w:eastAsia="Times New Roman" w:hAnsiTheme="minorHAnsi" w:cstheme="minorHAnsi"/>
          <w:color w:val="222222"/>
          <w:szCs w:val="22"/>
          <w:shd w:val="clear" w:color="auto" w:fill="FFFFFF"/>
        </w:rPr>
        <w:t xml:space="preserve">Ladson-Billings, G. (2014). Culturally relevant pedagogy 2.0: aka the remix. </w:t>
      </w:r>
      <w:r w:rsidRPr="00AA03B3">
        <w:rPr>
          <w:rFonts w:asciiTheme="minorHAnsi" w:eastAsia="Times New Roman" w:hAnsiTheme="minorHAnsi" w:cstheme="minorHAnsi"/>
          <w:i/>
          <w:iCs/>
          <w:color w:val="222222"/>
          <w:szCs w:val="22"/>
          <w:shd w:val="clear" w:color="auto" w:fill="FFFFFF"/>
        </w:rPr>
        <w:t>Harvard educational review</w:t>
      </w:r>
      <w:r w:rsidRPr="00AA03B3">
        <w:rPr>
          <w:rFonts w:asciiTheme="minorHAnsi" w:eastAsia="Times New Roman" w:hAnsiTheme="minorHAnsi" w:cstheme="minorHAnsi"/>
          <w:color w:val="222222"/>
          <w:szCs w:val="22"/>
          <w:shd w:val="clear" w:color="auto" w:fill="FFFFFF"/>
        </w:rPr>
        <w:t xml:space="preserve">, </w:t>
      </w:r>
      <w:r w:rsidRPr="00AA03B3">
        <w:rPr>
          <w:rFonts w:asciiTheme="minorHAnsi" w:eastAsia="Times New Roman" w:hAnsiTheme="minorHAnsi" w:cstheme="minorHAnsi"/>
          <w:i/>
          <w:iCs/>
          <w:color w:val="222222"/>
          <w:szCs w:val="22"/>
          <w:shd w:val="clear" w:color="auto" w:fill="FFFFFF"/>
        </w:rPr>
        <w:t>84</w:t>
      </w:r>
      <w:r w:rsidRPr="00AA03B3">
        <w:rPr>
          <w:rFonts w:asciiTheme="minorHAnsi" w:eastAsia="Times New Roman" w:hAnsiTheme="minorHAnsi" w:cstheme="minorHAnsi"/>
          <w:color w:val="222222"/>
          <w:szCs w:val="22"/>
          <w:shd w:val="clear" w:color="auto" w:fill="FFFFFF"/>
        </w:rPr>
        <w:t>(1), 74-84.</w:t>
      </w:r>
    </w:p>
    <w:p w14:paraId="26CBD54F" w14:textId="77777777" w:rsidR="00AA03B3" w:rsidRPr="00AA03B3" w:rsidRDefault="00AA03B3" w:rsidP="00AA03B3">
      <w:pPr>
        <w:ind w:left="720"/>
        <w:rPr>
          <w:rFonts w:asciiTheme="minorHAnsi" w:eastAsia="Times New Roman" w:hAnsiTheme="minorHAnsi" w:cstheme="minorHAnsi"/>
          <w:szCs w:val="22"/>
        </w:rPr>
      </w:pPr>
    </w:p>
    <w:p w14:paraId="74C307B8" w14:textId="77777777" w:rsidR="00AA03B3" w:rsidRPr="00AA03B3" w:rsidRDefault="00AA03B3" w:rsidP="00AA03B3">
      <w:pPr>
        <w:ind w:left="720" w:hanging="720"/>
        <w:rPr>
          <w:rFonts w:asciiTheme="minorHAnsi" w:eastAsia="Times New Roman" w:hAnsiTheme="minorHAnsi" w:cstheme="minorHAnsi"/>
          <w:szCs w:val="22"/>
        </w:rPr>
      </w:pPr>
      <w:r w:rsidRPr="00AA03B3">
        <w:rPr>
          <w:rFonts w:asciiTheme="minorHAnsi" w:eastAsia="Times New Roman" w:hAnsiTheme="minorHAnsi" w:cstheme="minorHAnsi"/>
          <w:color w:val="222222"/>
          <w:szCs w:val="22"/>
          <w:shd w:val="clear" w:color="auto" w:fill="FFFFFF"/>
        </w:rPr>
        <w:t xml:space="preserve">Lopez, A.E. (2011). “Culturally relevant pedagogy and critical literacy in diverse English classrooms: A case study of a secondary English teacher’s activism and agency.” </w:t>
      </w:r>
      <w:r w:rsidRPr="00AA03B3">
        <w:rPr>
          <w:rFonts w:asciiTheme="minorHAnsi" w:eastAsia="Times New Roman" w:hAnsiTheme="minorHAnsi" w:cstheme="minorHAnsi"/>
          <w:i/>
          <w:iCs/>
          <w:color w:val="222222"/>
          <w:szCs w:val="22"/>
          <w:shd w:val="clear" w:color="auto" w:fill="FFFFFF"/>
        </w:rPr>
        <w:t>English Teaching: Practice and Critique, 10</w:t>
      </w:r>
      <w:r w:rsidRPr="00AA03B3">
        <w:rPr>
          <w:rFonts w:asciiTheme="minorHAnsi" w:eastAsia="Times New Roman" w:hAnsiTheme="minorHAnsi" w:cstheme="minorHAnsi"/>
          <w:color w:val="222222"/>
          <w:szCs w:val="22"/>
          <w:shd w:val="clear" w:color="auto" w:fill="FFFFFF"/>
        </w:rPr>
        <w:t>(4), 75-93. </w:t>
      </w:r>
    </w:p>
    <w:p w14:paraId="790C1DBE" w14:textId="77777777" w:rsidR="00AA03B3" w:rsidRPr="00AA03B3" w:rsidRDefault="00AA03B3" w:rsidP="00AA03B3">
      <w:pPr>
        <w:ind w:left="720"/>
        <w:rPr>
          <w:rFonts w:asciiTheme="minorHAnsi" w:eastAsia="Times New Roman" w:hAnsiTheme="minorHAnsi" w:cstheme="minorHAnsi"/>
          <w:szCs w:val="22"/>
        </w:rPr>
      </w:pPr>
    </w:p>
    <w:p w14:paraId="60DE049F" w14:textId="77777777" w:rsidR="00AA03B3" w:rsidRPr="00AA03B3" w:rsidRDefault="00AA03B3" w:rsidP="00AA03B3">
      <w:pPr>
        <w:ind w:left="720" w:hanging="720"/>
        <w:rPr>
          <w:rFonts w:asciiTheme="minorHAnsi" w:eastAsia="Times New Roman" w:hAnsiTheme="minorHAnsi" w:cstheme="minorHAnsi"/>
          <w:szCs w:val="22"/>
        </w:rPr>
      </w:pPr>
      <w:r w:rsidRPr="00AA03B3">
        <w:rPr>
          <w:rFonts w:asciiTheme="minorHAnsi" w:eastAsia="Times New Roman" w:hAnsiTheme="minorHAnsi" w:cstheme="minorHAnsi"/>
          <w:color w:val="000000"/>
          <w:szCs w:val="22"/>
        </w:rPr>
        <w:t>Lynch, M. (2011). “What is culturally responsive pedagogy?”</w:t>
      </w:r>
      <w:r w:rsidRPr="00AA03B3">
        <w:rPr>
          <w:rFonts w:asciiTheme="minorHAnsi" w:eastAsia="Times New Roman" w:hAnsiTheme="minorHAnsi" w:cstheme="minorHAnsi"/>
          <w:i/>
          <w:iCs/>
          <w:color w:val="000000"/>
          <w:szCs w:val="22"/>
        </w:rPr>
        <w:t xml:space="preserve"> The Huffington Post.</w:t>
      </w:r>
      <w:r w:rsidRPr="00AA03B3">
        <w:rPr>
          <w:rFonts w:asciiTheme="minorHAnsi" w:eastAsia="Times New Roman" w:hAnsiTheme="minorHAnsi" w:cstheme="minorHAnsi"/>
          <w:color w:val="000000"/>
          <w:szCs w:val="22"/>
        </w:rPr>
        <w:t xml:space="preserve"> Retrieved from </w:t>
      </w:r>
      <w:hyperlink r:id="rId7" w:history="1">
        <w:r w:rsidRPr="00AA03B3">
          <w:rPr>
            <w:rFonts w:asciiTheme="minorHAnsi" w:eastAsia="Times New Roman" w:hAnsiTheme="minorHAnsi" w:cstheme="minorHAnsi"/>
            <w:color w:val="1155CC"/>
            <w:szCs w:val="22"/>
            <w:u w:val="single"/>
          </w:rPr>
          <w:t>http://www.huffingtonpost.com/matthew-lynch-edd/culturally-responsive-pedagogy_b_1147364.html</w:t>
        </w:r>
      </w:hyperlink>
      <w:r w:rsidRPr="00AA03B3">
        <w:rPr>
          <w:rFonts w:asciiTheme="minorHAnsi" w:eastAsia="Times New Roman" w:hAnsiTheme="minorHAnsi" w:cstheme="minorHAnsi"/>
          <w:color w:val="000000"/>
          <w:szCs w:val="22"/>
        </w:rPr>
        <w:t> </w:t>
      </w:r>
    </w:p>
    <w:p w14:paraId="406438AE" w14:textId="77777777" w:rsidR="00AA03B3" w:rsidRPr="00AA03B3" w:rsidRDefault="00AA03B3" w:rsidP="00AA03B3">
      <w:pPr>
        <w:ind w:left="720"/>
        <w:rPr>
          <w:rFonts w:asciiTheme="minorHAnsi" w:eastAsia="Times New Roman" w:hAnsiTheme="minorHAnsi" w:cstheme="minorHAnsi"/>
          <w:szCs w:val="22"/>
        </w:rPr>
      </w:pPr>
    </w:p>
    <w:p w14:paraId="5FDF3AC8" w14:textId="77777777" w:rsidR="00AA03B3" w:rsidRPr="00AA03B3" w:rsidRDefault="00AA03B3" w:rsidP="00AA03B3">
      <w:pPr>
        <w:ind w:left="720" w:hanging="720"/>
        <w:rPr>
          <w:rFonts w:asciiTheme="minorHAnsi" w:eastAsia="Times New Roman" w:hAnsiTheme="minorHAnsi" w:cstheme="minorHAnsi"/>
          <w:szCs w:val="22"/>
        </w:rPr>
      </w:pPr>
      <w:r w:rsidRPr="00AA03B3">
        <w:rPr>
          <w:rFonts w:asciiTheme="minorHAnsi" w:eastAsia="Times New Roman" w:hAnsiTheme="minorHAnsi" w:cstheme="minorHAnsi"/>
          <w:color w:val="000000"/>
          <w:szCs w:val="22"/>
        </w:rPr>
        <w:t xml:space="preserve">Montenegro, E., &amp; Jankowski, N. A. (2017, January). </w:t>
      </w:r>
      <w:r w:rsidRPr="00AA03B3">
        <w:rPr>
          <w:rFonts w:asciiTheme="minorHAnsi" w:eastAsia="Times New Roman" w:hAnsiTheme="minorHAnsi" w:cstheme="minorHAnsi"/>
          <w:i/>
          <w:iCs/>
          <w:color w:val="000000"/>
          <w:szCs w:val="22"/>
        </w:rPr>
        <w:t>Equity and assessment: Moving towards culturally responsive assessment</w:t>
      </w:r>
      <w:r w:rsidRPr="00AA03B3">
        <w:rPr>
          <w:rFonts w:asciiTheme="minorHAnsi" w:eastAsia="Times New Roman" w:hAnsiTheme="minorHAnsi" w:cstheme="minorHAnsi"/>
          <w:color w:val="000000"/>
          <w:szCs w:val="22"/>
        </w:rPr>
        <w:t xml:space="preserve"> (Occasional Paper No. 29). Urbana, IL: University of Illinois and Indiana University, National Institute for Learning Outcomes Assessment (NILOA).</w:t>
      </w:r>
    </w:p>
    <w:p w14:paraId="11DF071E" w14:textId="77777777" w:rsidR="00AA03B3" w:rsidRPr="00AA03B3" w:rsidRDefault="00AA03B3" w:rsidP="00AA03B3">
      <w:pPr>
        <w:ind w:left="720"/>
        <w:rPr>
          <w:rFonts w:asciiTheme="minorHAnsi" w:eastAsia="Times New Roman" w:hAnsiTheme="minorHAnsi" w:cstheme="minorHAnsi"/>
          <w:szCs w:val="22"/>
        </w:rPr>
      </w:pPr>
    </w:p>
    <w:p w14:paraId="3420B210" w14:textId="77777777" w:rsidR="00AA03B3" w:rsidRPr="00AA03B3" w:rsidRDefault="00AA03B3" w:rsidP="00AA03B3">
      <w:pPr>
        <w:ind w:left="720" w:hanging="720"/>
        <w:rPr>
          <w:rFonts w:asciiTheme="minorHAnsi" w:eastAsia="Times New Roman" w:hAnsiTheme="minorHAnsi" w:cstheme="minorHAnsi"/>
          <w:szCs w:val="22"/>
        </w:rPr>
      </w:pPr>
      <w:r w:rsidRPr="00AA03B3">
        <w:rPr>
          <w:rFonts w:asciiTheme="minorHAnsi" w:eastAsia="Times New Roman" w:hAnsiTheme="minorHAnsi" w:cstheme="minorHAnsi"/>
          <w:color w:val="000000"/>
          <w:szCs w:val="22"/>
        </w:rPr>
        <w:t xml:space="preserve">Seider, S. (2017) “Developing sociopolitical consciousness of race and social class inequality in adolescents attending progressive and no excuses urban secondary schools.” </w:t>
      </w:r>
      <w:r w:rsidRPr="00AA03B3">
        <w:rPr>
          <w:rFonts w:asciiTheme="minorHAnsi" w:eastAsia="Times New Roman" w:hAnsiTheme="minorHAnsi" w:cstheme="minorHAnsi"/>
          <w:i/>
          <w:iCs/>
          <w:color w:val="000000"/>
          <w:szCs w:val="22"/>
        </w:rPr>
        <w:t>Applied Developmental Science, 22</w:t>
      </w:r>
      <w:r w:rsidRPr="00AA03B3">
        <w:rPr>
          <w:rFonts w:asciiTheme="minorHAnsi" w:eastAsia="Times New Roman" w:hAnsiTheme="minorHAnsi" w:cstheme="minorHAnsi"/>
          <w:color w:val="000000"/>
          <w:szCs w:val="22"/>
        </w:rPr>
        <w:t>(3), 169-187.</w:t>
      </w:r>
    </w:p>
    <w:p w14:paraId="655BD113" w14:textId="77777777" w:rsidR="00AA03B3" w:rsidRPr="00AA03B3" w:rsidRDefault="00AA03B3" w:rsidP="00AA03B3">
      <w:pPr>
        <w:ind w:left="720"/>
        <w:rPr>
          <w:rFonts w:asciiTheme="minorHAnsi" w:eastAsia="Times New Roman" w:hAnsiTheme="minorHAnsi" w:cstheme="minorHAnsi"/>
          <w:szCs w:val="22"/>
        </w:rPr>
      </w:pPr>
    </w:p>
    <w:p w14:paraId="057B2BC4" w14:textId="77777777" w:rsidR="00AA03B3" w:rsidRPr="00AA03B3" w:rsidRDefault="00AA03B3" w:rsidP="00AA03B3">
      <w:pPr>
        <w:ind w:left="720" w:hanging="720"/>
        <w:rPr>
          <w:rFonts w:asciiTheme="minorHAnsi" w:eastAsia="Times New Roman" w:hAnsiTheme="minorHAnsi" w:cstheme="minorHAnsi"/>
          <w:szCs w:val="22"/>
        </w:rPr>
      </w:pPr>
      <w:r w:rsidRPr="00AA03B3">
        <w:rPr>
          <w:rFonts w:asciiTheme="minorHAnsi" w:eastAsia="Times New Roman" w:hAnsiTheme="minorHAnsi" w:cstheme="minorHAnsi"/>
          <w:color w:val="000000"/>
          <w:szCs w:val="22"/>
        </w:rPr>
        <w:t xml:space="preserve">Thompson, S., Johnstone, C. J., &amp; Thurlow, M. L. (2002). </w:t>
      </w:r>
      <w:r w:rsidRPr="00AA03B3">
        <w:rPr>
          <w:rFonts w:asciiTheme="minorHAnsi" w:eastAsia="Times New Roman" w:hAnsiTheme="minorHAnsi" w:cstheme="minorHAnsi"/>
          <w:i/>
          <w:iCs/>
          <w:color w:val="000000"/>
          <w:szCs w:val="22"/>
        </w:rPr>
        <w:t>Universal design applied to large scale assessments</w:t>
      </w:r>
      <w:r w:rsidRPr="00AA03B3">
        <w:rPr>
          <w:rFonts w:asciiTheme="minorHAnsi" w:eastAsia="Times New Roman" w:hAnsiTheme="minorHAnsi" w:cstheme="minorHAnsi"/>
          <w:color w:val="000000"/>
          <w:szCs w:val="22"/>
        </w:rPr>
        <w:t xml:space="preserve"> (Synthesis Report 44). Minneapolis, MN: University of Minnesota, National Center on Educational Outcomes. Retrieved from: </w:t>
      </w:r>
      <w:hyperlink r:id="rId8" w:history="1">
        <w:r w:rsidRPr="00AA03B3">
          <w:rPr>
            <w:rFonts w:asciiTheme="minorHAnsi" w:eastAsia="Times New Roman" w:hAnsiTheme="minorHAnsi" w:cstheme="minorHAnsi"/>
            <w:color w:val="1155CC"/>
            <w:szCs w:val="22"/>
            <w:u w:val="single"/>
          </w:rPr>
          <w:t>https://nceo.umn.edu/docs/OnlinePubs/Synth44.pdf</w:t>
        </w:r>
      </w:hyperlink>
    </w:p>
    <w:p w14:paraId="0BD3D7C3" w14:textId="77777777" w:rsidR="00AA03B3" w:rsidRPr="00AA03B3" w:rsidRDefault="00AA03B3" w:rsidP="00AA03B3">
      <w:pPr>
        <w:ind w:left="720" w:hanging="720"/>
        <w:rPr>
          <w:rFonts w:asciiTheme="minorHAnsi" w:eastAsia="Times New Roman" w:hAnsiTheme="minorHAnsi" w:cstheme="minorHAnsi"/>
          <w:szCs w:val="22"/>
        </w:rPr>
      </w:pPr>
    </w:p>
    <w:p w14:paraId="7C9A7BE1" w14:textId="614AC0D0" w:rsidR="00702406" w:rsidRPr="00AA03B3" w:rsidRDefault="00AA03B3" w:rsidP="00AA03B3">
      <w:pPr>
        <w:ind w:left="720" w:hanging="720"/>
        <w:rPr>
          <w:rFonts w:asciiTheme="minorHAnsi" w:eastAsia="Times New Roman" w:hAnsiTheme="minorHAnsi" w:cstheme="minorHAnsi"/>
          <w:szCs w:val="22"/>
        </w:rPr>
      </w:pPr>
      <w:proofErr w:type="spellStart"/>
      <w:r w:rsidRPr="00AA03B3">
        <w:rPr>
          <w:rFonts w:asciiTheme="minorHAnsi" w:eastAsia="Times New Roman" w:hAnsiTheme="minorHAnsi" w:cstheme="minorHAnsi"/>
          <w:color w:val="000000"/>
          <w:szCs w:val="22"/>
        </w:rPr>
        <w:t>Vavrus</w:t>
      </w:r>
      <w:proofErr w:type="spellEnd"/>
      <w:r w:rsidRPr="00AA03B3">
        <w:rPr>
          <w:rFonts w:asciiTheme="minorHAnsi" w:eastAsia="Times New Roman" w:hAnsiTheme="minorHAnsi" w:cstheme="minorHAnsi"/>
          <w:color w:val="000000"/>
          <w:szCs w:val="22"/>
        </w:rPr>
        <w:t xml:space="preserve">, M. (2008). “Culturally responsive teaching.” In Good, T.L. (Ed.), </w:t>
      </w:r>
      <w:r w:rsidRPr="00AA03B3">
        <w:rPr>
          <w:rFonts w:asciiTheme="minorHAnsi" w:eastAsia="Times New Roman" w:hAnsiTheme="minorHAnsi" w:cstheme="minorHAnsi"/>
          <w:i/>
          <w:iCs/>
          <w:color w:val="000000"/>
          <w:szCs w:val="22"/>
        </w:rPr>
        <w:t>21st Century Education: A Reference Handbook</w:t>
      </w:r>
      <w:r w:rsidRPr="00AA03B3">
        <w:rPr>
          <w:rFonts w:asciiTheme="minorHAnsi" w:eastAsia="Times New Roman" w:hAnsiTheme="minorHAnsi" w:cstheme="minorHAnsi"/>
          <w:color w:val="000000"/>
          <w:szCs w:val="22"/>
        </w:rPr>
        <w:t xml:space="preserve"> (vol. 2) (pp. 49-57). Thousand Oaks, CA: Sage Publishing.</w:t>
      </w:r>
    </w:p>
    <w:sectPr w:rsidR="00702406" w:rsidRPr="00AA03B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C434" w14:textId="77777777" w:rsidR="002536E1" w:rsidRDefault="002536E1" w:rsidP="00AA03B3">
      <w:r>
        <w:separator/>
      </w:r>
    </w:p>
  </w:endnote>
  <w:endnote w:type="continuationSeparator" w:id="0">
    <w:p w14:paraId="275C5B0B" w14:textId="77777777" w:rsidR="002536E1" w:rsidRDefault="002536E1" w:rsidP="00AA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modern"/>
    <w:notTrueType/>
    <w:pitch w:val="variable"/>
    <w:sig w:usb0="E00002FF" w:usb1="5000205B" w:usb2="00000020" w:usb3="00000000" w:csb0="0000019F" w:csb1="00000000"/>
  </w:font>
  <w:font w:name="Roboto">
    <w:altName w:val="﷽﷽﷽﷽﷽﷽﷽﷽"/>
    <w:panose1 w:val="02000000000000000000"/>
    <w:charset w:val="00"/>
    <w:family w:val="modern"/>
    <w:notTrueType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893E" w14:textId="77777777" w:rsidR="002536E1" w:rsidRDefault="002536E1" w:rsidP="00AA03B3">
      <w:r>
        <w:separator/>
      </w:r>
    </w:p>
  </w:footnote>
  <w:footnote w:type="continuationSeparator" w:id="0">
    <w:p w14:paraId="5EC019BA" w14:textId="77777777" w:rsidR="002536E1" w:rsidRDefault="002536E1" w:rsidP="00AA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AA9B" w14:textId="77777777" w:rsidR="00AA03B3" w:rsidRPr="00AA03B3" w:rsidRDefault="00AA03B3" w:rsidP="00AA03B3">
    <w:pPr>
      <w:rPr>
        <w:rFonts w:asciiTheme="minorHAnsi" w:hAnsiTheme="minorHAnsi" w:cstheme="minorHAnsi"/>
        <w:i/>
        <w:iCs/>
        <w:color w:val="000000"/>
        <w:szCs w:val="22"/>
      </w:rPr>
    </w:pPr>
    <w:r w:rsidRPr="00AA03B3">
      <w:rPr>
        <w:rFonts w:asciiTheme="minorHAnsi" w:hAnsiTheme="minorHAnsi" w:cstheme="minorHAnsi"/>
        <w:i/>
        <w:iCs/>
        <w:color w:val="000000"/>
        <w:szCs w:val="22"/>
      </w:rPr>
      <w:t>Cultural Relevance Versus Construct Relevance: How do we Create Culturally Responsive Assessments?</w:t>
    </w:r>
  </w:p>
  <w:p w14:paraId="6928C625" w14:textId="2A2A1F39" w:rsidR="00AA03B3" w:rsidRPr="00AA03B3" w:rsidRDefault="00AA03B3" w:rsidP="00AA03B3">
    <w:pPr>
      <w:rPr>
        <w:rFonts w:asciiTheme="minorHAnsi" w:eastAsia="Times New Roman" w:hAnsiTheme="minorHAnsi" w:cstheme="minorHAnsi"/>
        <w:szCs w:val="22"/>
      </w:rPr>
    </w:pPr>
    <w:r w:rsidRPr="00AA03B3">
      <w:rPr>
        <w:rFonts w:asciiTheme="minorHAnsi" w:eastAsia="Times New Roman" w:hAnsiTheme="minorHAnsi" w:cstheme="minorHAnsi"/>
        <w:color w:val="000000"/>
        <w:szCs w:val="22"/>
      </w:rPr>
      <w:t>Webinar Date: January 19, 2022, 3:00-4:30pm 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B3"/>
    <w:rsid w:val="002536E1"/>
    <w:rsid w:val="00702406"/>
    <w:rsid w:val="00AA03B3"/>
    <w:rsid w:val="00CC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1A967"/>
  <w15:chartTrackingRefBased/>
  <w15:docId w15:val="{D187618C-C999-4887-8E5A-234A3B2B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8B"/>
    <w:pPr>
      <w:spacing w:after="0" w:line="240" w:lineRule="auto"/>
    </w:pPr>
    <w:rPr>
      <w:rFonts w:ascii="Roboto Light" w:hAnsi="Roboto Light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78B"/>
    <w:pPr>
      <w:keepNext/>
      <w:keepLines/>
      <w:spacing w:before="240" w:after="120"/>
      <w:outlineLvl w:val="0"/>
    </w:pPr>
    <w:rPr>
      <w:rFonts w:ascii="Roboto" w:eastAsiaTheme="majorEastAsia" w:hAnsi="Roboto" w:cstheme="majorBidi"/>
      <w:b/>
      <w:color w:val="005793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78B"/>
    <w:pPr>
      <w:keepNext/>
      <w:keepLines/>
      <w:spacing w:before="40" w:after="40"/>
      <w:outlineLvl w:val="1"/>
    </w:pPr>
    <w:rPr>
      <w:rFonts w:ascii="Roboto" w:eastAsiaTheme="majorEastAsia" w:hAnsi="Roboto" w:cstheme="majorBidi"/>
      <w:b/>
      <w:color w:val="00579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7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178B"/>
    <w:pPr>
      <w:keepNext/>
      <w:keepLines/>
      <w:spacing w:before="40"/>
      <w:outlineLvl w:val="3"/>
    </w:pPr>
    <w:rPr>
      <w:rFonts w:ascii="Roboto" w:eastAsiaTheme="majorEastAsia" w:hAnsi="Roboto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78B"/>
    <w:rPr>
      <w:rFonts w:ascii="Roboto" w:eastAsiaTheme="majorEastAsia" w:hAnsi="Roboto" w:cstheme="majorBidi"/>
      <w:b/>
      <w:color w:val="005793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178B"/>
    <w:rPr>
      <w:rFonts w:ascii="Roboto" w:eastAsiaTheme="majorEastAsia" w:hAnsi="Roboto" w:cstheme="majorBidi"/>
      <w:b/>
      <w:color w:val="00579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178B"/>
    <w:rPr>
      <w:rFonts w:ascii="Roboto Light" w:hAnsi="Roboto Light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C178B"/>
    <w:rPr>
      <w:rFonts w:ascii="Roboto" w:eastAsiaTheme="majorEastAsia" w:hAnsi="Roboto" w:cstheme="majorBidi"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A03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AA03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0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3B3"/>
    <w:rPr>
      <w:rFonts w:ascii="Roboto Light" w:hAnsi="Roboto Light"/>
      <w:szCs w:val="24"/>
    </w:rPr>
  </w:style>
  <w:style w:type="paragraph" w:styleId="Footer">
    <w:name w:val="footer"/>
    <w:basedOn w:val="Normal"/>
    <w:link w:val="FooterChar"/>
    <w:uiPriority w:val="99"/>
    <w:unhideWhenUsed/>
    <w:rsid w:val="00AA0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3B3"/>
    <w:rPr>
      <w:rFonts w:ascii="Roboto Light" w:hAnsi="Roboto Ligh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o.umn.edu/docs/OnlinePubs/Synth4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uffingtonpost.com/matthew-lynch-edd/culturally-responsive-pedagogy_b_114736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102/0002831203200346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Chastity McFarlan</dc:creator>
  <cp:keywords/>
  <dc:description/>
  <cp:lastModifiedBy>Chastity McFarlan</cp:lastModifiedBy>
  <cp:revision>1</cp:revision>
  <dcterms:created xsi:type="dcterms:W3CDTF">2022-01-24T15:18:00Z</dcterms:created>
  <dcterms:modified xsi:type="dcterms:W3CDTF">2022-01-24T15:20:00Z</dcterms:modified>
</cp:coreProperties>
</file>